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中共大厂回族自治县委直属机关工作委员会</w:t>
      </w:r>
    </w:p>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年度预算信息公开情况说明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按照《预算法》、《地方预决算公开操作规程》和《河北省省级预算公开办法》规定，现将中共大厂回族自治县委直属机关工作委员会201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 w:hAnsi="楷体" w:eastAsia="楷体" w:cs="楷体"/>
          <w:b/>
          <w:sz w:val="32"/>
          <w:szCs w:val="32"/>
        </w:rPr>
      </w:pPr>
      <w:r>
        <w:rPr>
          <w:rFonts w:hint="eastAsia" w:ascii="楷体" w:hAnsi="楷体" w:eastAsia="楷体" w:cs="楷体"/>
          <w:b/>
          <w:bCs w:val="0"/>
          <w:sz w:val="32"/>
          <w:szCs w:val="32"/>
        </w:rPr>
        <w:t>部门职责：</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中共大厂回族自治县委直属机关工作委员会</w:t>
      </w:r>
      <w:r>
        <w:rPr>
          <w:rFonts w:hint="eastAsia" w:ascii="仿宋_GB2312" w:hAnsi="仿宋_GB2312" w:eastAsia="仿宋_GB2312" w:cs="仿宋_GB2312"/>
          <w:sz w:val="32"/>
          <w:szCs w:val="32"/>
        </w:rPr>
        <w:t>的职责是：贯彻落实党的路线方针政策和县委的指示、决议；制定县直机关党的建设规划，并督导检查落实；领导县直基层党组织，搞好党的思想建设、组织建设、作风和制度建设，做好党员教育管理工作；审批县直机关党组织设置及党务干部并按规定审批党员干部的案件；做好新党员发展培训工作；完成县委、纪委交办的工作；完成一年一度的征集新兵的工作；制定机关党风廉政建设规划，做好党员违纪案件的处理工作，抓好党风党纪党性教育。</w:t>
      </w:r>
    </w:p>
    <w:p>
      <w:pPr>
        <w:autoSpaceDE w:val="0"/>
        <w:autoSpaceDN w:val="0"/>
        <w:adjustRightInd w:val="0"/>
        <w:ind w:firstLine="643" w:firstLineChars="200"/>
        <w:jc w:val="left"/>
        <w:rPr>
          <w:rFonts w:ascii="楷体" w:hAnsi="楷体" w:eastAsia="楷体" w:cs="楷体"/>
          <w:b/>
          <w:sz w:val="32"/>
          <w:szCs w:val="32"/>
        </w:rPr>
      </w:pPr>
      <w:r>
        <w:rPr>
          <w:rFonts w:hint="eastAsia" w:ascii="楷体" w:hAnsi="楷体" w:eastAsia="楷体" w:cs="楷体"/>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10294" w:type="dxa"/>
        <w:jc w:val="center"/>
        <w:tblInd w:w="-11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82"/>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98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98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jc w:val="center"/>
        </w:trPr>
        <w:tc>
          <w:tcPr>
            <w:tcW w:w="49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中共大厂回族自治县委直属机关工作委员会</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90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财政拨款</w:t>
            </w:r>
          </w:p>
        </w:tc>
      </w:tr>
    </w:tbl>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按照预算管理有关规定，目前我部门预算的编制实行综合预算制度。我部门全部收支包含在部门预算中。</w:t>
      </w:r>
    </w:p>
    <w:p>
      <w:pPr>
        <w:ind w:firstLine="640"/>
        <w:rPr>
          <w:rFonts w:ascii="楷体" w:hAnsi="楷体" w:eastAsia="楷体" w:cs="楷体"/>
          <w:sz w:val="32"/>
          <w:szCs w:val="32"/>
        </w:rPr>
      </w:pPr>
      <w:r>
        <w:rPr>
          <w:rFonts w:hint="eastAsia" w:ascii="楷体" w:hAnsi="楷体" w:eastAsia="楷体" w:cs="楷体"/>
          <w:b/>
          <w:bCs/>
          <w:sz w:val="32"/>
          <w:szCs w:val="32"/>
        </w:rPr>
        <w:t>1、收入说明</w:t>
      </w:r>
    </w:p>
    <w:p>
      <w:pPr>
        <w:spacing w:line="560" w:lineRule="exact"/>
        <w:ind w:firstLine="640"/>
        <w:rPr>
          <w:rFonts w:ascii="仿宋_GB2312" w:hAnsi="仿宋_GB2312" w:eastAsia="仿宋_GB2312" w:cs="仿宋_GB2312"/>
          <w:sz w:val="32"/>
          <w:szCs w:val="32"/>
        </w:rPr>
      </w:pPr>
      <w:r>
        <w:rPr>
          <w:rFonts w:hint="eastAsia" w:ascii="仿宋" w:hAnsi="仿宋" w:eastAsia="仿宋"/>
          <w:sz w:val="32"/>
          <w:szCs w:val="32"/>
        </w:rPr>
        <w:t>反映本部门当年全部收入。</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210.79</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210.79</w:t>
      </w:r>
      <w:r>
        <w:rPr>
          <w:rFonts w:hint="eastAsia" w:ascii="仿宋_GB2312" w:hAnsi="仿宋_GB2312" w:eastAsia="仿宋_GB2312" w:cs="仿宋_GB2312"/>
          <w:sz w:val="32"/>
          <w:szCs w:val="32"/>
        </w:rPr>
        <w:t>万元，政府性基金收入0万元，国有资本经营收入0万元，事业收入0万元，其他收入0万元。</w:t>
      </w:r>
    </w:p>
    <w:p>
      <w:pPr>
        <w:ind w:firstLine="640"/>
        <w:rPr>
          <w:rFonts w:ascii="楷体" w:hAnsi="楷体" w:eastAsia="楷体" w:cs="楷体"/>
          <w:b/>
          <w:bCs/>
          <w:sz w:val="32"/>
          <w:szCs w:val="32"/>
        </w:rPr>
      </w:pPr>
      <w:r>
        <w:rPr>
          <w:rFonts w:hint="eastAsia" w:ascii="楷体" w:hAnsi="楷体" w:eastAsia="楷体" w:cs="楷体"/>
          <w:b/>
          <w:bCs/>
          <w:sz w:val="32"/>
          <w:szCs w:val="32"/>
        </w:rPr>
        <w:t>2、支出说明</w:t>
      </w:r>
    </w:p>
    <w:p>
      <w:pPr>
        <w:ind w:firstLine="640"/>
        <w:rPr>
          <w:rFonts w:hint="eastAsia" w:ascii="仿宋_GB2312" w:hAnsi="仿宋_GB2312" w:eastAsia="仿宋_GB2312" w:cs="仿宋_GB2312"/>
          <w:sz w:val="32"/>
          <w:szCs w:val="32"/>
          <w:lang w:val="en-US" w:eastAsia="zh-CN"/>
        </w:rPr>
      </w:pPr>
      <w:r>
        <w:rPr>
          <w:rFonts w:hint="eastAsia" w:ascii="仿宋" w:hAnsi="仿宋" w:eastAsia="仿宋"/>
          <w:sz w:val="32"/>
          <w:szCs w:val="32"/>
        </w:rPr>
        <w:t>收支预算总表支出栏、基本支出表、项目支出表按经济分类和支出功能分类科目编制，反映</w:t>
      </w:r>
      <w:r>
        <w:rPr>
          <w:rFonts w:hint="eastAsia" w:ascii="仿宋_GB2312" w:hAnsi="仿宋_GB2312" w:eastAsia="仿宋_GB2312" w:cs="仿宋_GB2312"/>
          <w:sz w:val="32"/>
          <w:szCs w:val="32"/>
        </w:rPr>
        <w:t>中共大厂回族自治县委直属机关工作委员会</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年度部门预算中支出预算的总体情况。</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210.79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206.79</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此支出均为本级支出。</w:t>
      </w:r>
    </w:p>
    <w:p>
      <w:pPr>
        <w:ind w:firstLine="640"/>
        <w:rPr>
          <w:rFonts w:ascii="楷体" w:hAnsi="楷体" w:eastAsia="楷体" w:cs="楷体"/>
          <w:b/>
          <w:bCs/>
          <w:sz w:val="32"/>
          <w:szCs w:val="32"/>
        </w:rPr>
      </w:pPr>
      <w:r>
        <w:rPr>
          <w:rFonts w:hint="eastAsia" w:ascii="楷体" w:hAnsi="楷体" w:eastAsia="楷体" w:cs="楷体"/>
          <w:b/>
          <w:bCs/>
          <w:sz w:val="32"/>
          <w:szCs w:val="32"/>
        </w:rPr>
        <w:t>3、比上年增减变化情况</w:t>
      </w:r>
    </w:p>
    <w:p>
      <w:pPr>
        <w:ind w:firstLine="640"/>
        <w:rPr>
          <w:rFonts w:ascii="仿宋_GB2312" w:hAnsi="黑体" w:eastAsia="仿宋_GB2312" w:cs="Times New Roman"/>
          <w:sz w:val="32"/>
          <w:szCs w:val="32"/>
          <w:highlight w:val="yellow"/>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color w:val="000000"/>
          <w:sz w:val="32"/>
          <w:szCs w:val="32"/>
          <w:lang w:val="en-US" w:eastAsia="zh-CN"/>
        </w:rPr>
        <w:t>210.79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较2018年预算增加32.79万元，其中基本支出增加35.79万元，主要为人员经费和日常公用经费支出；</w:t>
      </w:r>
      <w:r>
        <w:rPr>
          <w:rFonts w:hint="eastAsia" w:ascii="仿宋_GB2312" w:hAnsi="仿宋_GB2312" w:eastAsia="仿宋_GB2312" w:cs="仿宋_GB2312"/>
          <w:sz w:val="32"/>
          <w:szCs w:val="32"/>
        </w:rPr>
        <w:t>项目支出减少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万元，主要为</w:t>
      </w:r>
      <w:r>
        <w:rPr>
          <w:rFonts w:hint="eastAsia" w:ascii="仿宋_GB2312" w:hAnsi="Calibri" w:eastAsia="仿宋_GB2312" w:cs="Times New Roman"/>
          <w:sz w:val="32"/>
          <w:szCs w:val="32"/>
          <w:lang w:val="en-US" w:eastAsia="zh-CN"/>
        </w:rPr>
        <w:t>财务管理设备、软件及网络维护费</w:t>
      </w:r>
      <w:r>
        <w:rPr>
          <w:rFonts w:hint="eastAsia" w:ascii="仿宋_GB2312" w:hAnsi="Calibri" w:eastAsia="仿宋_GB2312" w:cs="Times New Roman"/>
          <w:sz w:val="32"/>
          <w:szCs w:val="32"/>
        </w:rPr>
        <w:t>用</w:t>
      </w:r>
      <w:r>
        <w:rPr>
          <w:rFonts w:hint="eastAsia" w:ascii="仿宋_GB2312" w:hAnsi="黑体" w:eastAsia="仿宋_GB2312" w:cs="Times New Roman"/>
          <w:sz w:val="32"/>
          <w:szCs w:val="32"/>
        </w:rPr>
        <w:t>减少。</w:t>
      </w:r>
    </w:p>
    <w:p>
      <w:pPr>
        <w:autoSpaceDE w:val="0"/>
        <w:autoSpaceDN w:val="0"/>
        <w:adjustRightInd w:val="0"/>
        <w:ind w:left="198" w:firstLine="640" w:firstLineChars="200"/>
        <w:jc w:val="left"/>
        <w:rPr>
          <w:rFonts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2019年，我部门</w:t>
      </w:r>
      <w:r>
        <w:rPr>
          <w:rFonts w:hint="eastAsia" w:ascii="仿宋_GB2312" w:hAnsi="仿宋_GB2312" w:eastAsia="仿宋_GB2312" w:cs="仿宋_GB2312"/>
          <w:color w:val="000000" w:themeColor="text1"/>
          <w:sz w:val="32"/>
          <w:szCs w:val="32"/>
        </w:rPr>
        <w:t>机关运行经费共计安排</w:t>
      </w:r>
      <w:r>
        <w:rPr>
          <w:rFonts w:hint="eastAsia" w:ascii="仿宋_GB2312" w:hAnsi="仿宋_GB2312" w:eastAsia="仿宋_GB2312" w:cs="仿宋_GB2312"/>
          <w:color w:val="000000" w:themeColor="text1"/>
          <w:sz w:val="32"/>
          <w:szCs w:val="32"/>
          <w:lang w:val="en-US" w:eastAsia="zh-CN"/>
        </w:rPr>
        <w:t>25.68</w:t>
      </w:r>
      <w:r>
        <w:rPr>
          <w:rFonts w:hint="eastAsia" w:ascii="仿宋_GB2312" w:hAnsi="仿宋_GB2312" w:eastAsia="仿宋_GB2312" w:cs="仿宋_GB2312"/>
          <w:color w:val="000000" w:themeColor="text1"/>
          <w:sz w:val="32"/>
          <w:szCs w:val="32"/>
        </w:rPr>
        <w:t>万元，主要用于</w:t>
      </w:r>
      <w:r>
        <w:rPr>
          <w:rFonts w:hint="eastAsia" w:ascii="仿宋_GB2312" w:hAnsi="仿宋_GB2312" w:eastAsia="仿宋_GB2312" w:cs="仿宋_GB2312"/>
          <w:color w:val="000000" w:themeColor="text1"/>
          <w:sz w:val="32"/>
          <w:szCs w:val="32"/>
          <w:lang w:val="en-US" w:eastAsia="zh-CN"/>
        </w:rPr>
        <w:t>中共大厂回族自治县委直属机关工作委员会办公区的日常维修、办公用房的水电费、办公用房取暖费、办公用房物业管理费等日常运行支出。</w:t>
      </w:r>
    </w:p>
    <w:p>
      <w:pPr>
        <w:autoSpaceDE w:val="0"/>
        <w:autoSpaceDN w:val="0"/>
        <w:adjustRightInd w:val="0"/>
        <w:ind w:left="198" w:firstLine="640" w:firstLineChars="200"/>
        <w:jc w:val="left"/>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年，我单位“三公”经费预算安排</w:t>
      </w:r>
      <w:r>
        <w:rPr>
          <w:rFonts w:hint="eastAsia" w:ascii="仿宋_GB2312" w:hAnsi="仿宋_GB2312" w:eastAsia="仿宋_GB2312" w:cs="仿宋_GB2312"/>
          <w:sz w:val="32"/>
          <w:szCs w:val="32"/>
          <w:lang w:val="en-US" w:eastAsia="zh-CN"/>
        </w:rPr>
        <w:t>2.86</w:t>
      </w:r>
      <w:r>
        <w:rPr>
          <w:rFonts w:hint="eastAsia" w:ascii="仿宋_GB2312" w:hAnsi="仿宋_GB2312" w:eastAsia="仿宋_GB2312" w:cs="仿宋_GB2312"/>
          <w:sz w:val="32"/>
          <w:szCs w:val="32"/>
        </w:rPr>
        <w:t>万元，其中因公出国（境）费0万元；公务用车购置及运维费2.8万元（其中：公务用车购置费为0万元，公务用车运行费</w:t>
      </w:r>
      <w:r>
        <w:rPr>
          <w:rFonts w:hint="eastAsia" w:ascii="仿宋_GB2312" w:hAnsi="仿宋_GB2312" w:eastAsia="仿宋_GB2312" w:cs="仿宋_GB2312"/>
          <w:color w:val="000000"/>
          <w:sz w:val="32"/>
          <w:szCs w:val="32"/>
        </w:rPr>
        <w:t>2.8</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与2018年相比减少0.3万元，公务接待费减少0.3万元，主要原因是我部门切实落实勤俭节约各项规定，严格控制公务接待费支出。</w:t>
      </w:r>
    </w:p>
    <w:p>
      <w:pPr>
        <w:ind w:firstLine="800" w:firstLineChars="25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803" w:firstLineChars="250"/>
        <w:jc w:val="left"/>
        <w:rPr>
          <w:rFonts w:ascii="楷体" w:hAnsi="楷体" w:eastAsia="楷体" w:cs="楷体"/>
          <w:b/>
          <w:sz w:val="32"/>
          <w:szCs w:val="32"/>
        </w:rPr>
      </w:pPr>
      <w:bookmarkStart w:id="0" w:name="_Toc471398463"/>
      <w:r>
        <w:rPr>
          <w:rFonts w:hint="eastAsia" w:ascii="楷体" w:hAnsi="楷体" w:eastAsia="楷体" w:cs="楷体"/>
          <w:b/>
          <w:sz w:val="32"/>
          <w:szCs w:val="32"/>
        </w:rPr>
        <w:t>总体绩效目标：</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中共大厂</w:t>
      </w:r>
      <w:r>
        <w:rPr>
          <w:rFonts w:hint="eastAsia" w:ascii="仿宋_GB2312" w:hAnsi="仿宋_GB2312" w:eastAsia="仿宋_GB2312" w:cs="仿宋_GB2312"/>
          <w:sz w:val="32"/>
          <w:szCs w:val="32"/>
          <w:lang w:val="en-US" w:eastAsia="zh-CN"/>
        </w:rPr>
        <w:t>回族自治县委直属</w:t>
      </w:r>
      <w:r>
        <w:rPr>
          <w:rFonts w:hint="eastAsia" w:ascii="仿宋_GB2312" w:hAnsi="仿宋_GB2312" w:eastAsia="仿宋_GB2312" w:cs="仿宋_GB2312"/>
          <w:sz w:val="32"/>
          <w:szCs w:val="32"/>
        </w:rPr>
        <w:t>机关</w:t>
      </w:r>
      <w:r>
        <w:rPr>
          <w:rFonts w:hint="eastAsia" w:ascii="仿宋_GB2312" w:hAnsi="仿宋_GB2312" w:eastAsia="仿宋_GB2312" w:cs="仿宋_GB2312"/>
          <w:sz w:val="32"/>
          <w:szCs w:val="32"/>
          <w:lang w:val="en-US" w:eastAsia="zh-CN"/>
        </w:rPr>
        <w:t>工作委员会</w:t>
      </w:r>
      <w:r>
        <w:rPr>
          <w:rFonts w:hint="eastAsia" w:ascii="仿宋_GB2312" w:hAnsi="仿宋_GB2312" w:eastAsia="仿宋_GB2312" w:cs="仿宋_GB2312"/>
          <w:sz w:val="32"/>
          <w:szCs w:val="32"/>
        </w:rPr>
        <w:t>将在县委的正确领导下，将继续深入学习贯彻党的十九大精神，市、县委全会精神，落实县委十届六次全会决策部署，按照“服务县委、协调部门、人民满意”总体要求，紧紧抓住京津冀协调发展重大机遇,以习近平总书记提出的“五个坚持”为标尺，认真履职尽责，狠抓工作落实，继续做好重点工作有新突破、服务水平有新提升、队伍能力有新提高</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sz w:val="32"/>
          <w:szCs w:val="32"/>
        </w:rPr>
      </w:pPr>
      <w:r>
        <w:rPr>
          <w:rFonts w:ascii="楷体" w:hAnsi="楷体" w:eastAsia="楷体"/>
          <w:b/>
          <w:bCs w:val="0"/>
          <w:sz w:val="32"/>
          <w:szCs w:val="32"/>
        </w:rPr>
        <w:t>1、</w:t>
      </w:r>
      <w:r>
        <w:rPr>
          <w:rFonts w:hint="eastAsia" w:ascii="楷体" w:hAnsi="楷体" w:eastAsia="楷体"/>
          <w:b/>
          <w:bCs w:val="0"/>
          <w:sz w:val="32"/>
          <w:szCs w:val="32"/>
          <w:lang w:val="en-US" w:eastAsia="zh-CN"/>
        </w:rPr>
        <w:t>中共大厂回</w:t>
      </w:r>
      <w:r>
        <w:rPr>
          <w:rFonts w:hint="eastAsia" w:ascii="楷体" w:hAnsi="楷体" w:eastAsia="楷体"/>
          <w:b/>
          <w:sz w:val="32"/>
          <w:szCs w:val="32"/>
          <w:lang w:val="en-US" w:eastAsia="zh-CN"/>
        </w:rPr>
        <w:t>族自治县委直属机关工作委员会</w:t>
      </w:r>
      <w:r>
        <w:rPr>
          <w:rFonts w:ascii="楷体" w:hAnsi="楷体" w:eastAsia="楷体"/>
          <w:b/>
          <w:sz w:val="32"/>
          <w:szCs w:val="32"/>
        </w:rPr>
        <w:t>工作事务绩效目标情况：</w:t>
      </w:r>
      <w:r>
        <w:rPr>
          <w:rFonts w:hint="eastAsia" w:ascii="仿宋_GB2312" w:hAnsi="仿宋_GB2312" w:eastAsia="仿宋_GB2312" w:cs="仿宋_GB2312"/>
          <w:sz w:val="32"/>
          <w:szCs w:val="32"/>
        </w:rPr>
        <w:t>指导党的思想、组织、作风建设和党员教育管理等工作。加强县直机关党的思想政治建设、组织建设、作风建设、制度建设和反腐倡廉建设，做好县直机关其他党建工作。县直机关统战、群团和县直人民武装工作，统战、群团工作得到落实，作用发挥明显，受到公众好评；组织健全，工作落实，县直干部职工国防观念和县直民兵战斗力进一步增强。教育引导县直干部职工学习国防知识，增强国防理念，支持国防建设等工作。完成好县直机关党委、纪委日常业务工作，机关党建网络建设、调研交流工作以及县直机关文化活动开展、反邪教和老龄工作。</w:t>
      </w:r>
    </w:p>
    <w:p>
      <w:pPr>
        <w:spacing w:line="500" w:lineRule="exact"/>
        <w:ind w:firstLine="560"/>
        <w:rPr>
          <w:rFonts w:ascii="仿宋_GB2312" w:eastAsia="仿宋_GB2312"/>
          <w:sz w:val="32"/>
          <w:szCs w:val="32"/>
        </w:rPr>
      </w:pPr>
    </w:p>
    <w:p>
      <w:pPr>
        <w:spacing w:line="56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绩效目标：党组织、党员作用发挥突出。违纪案件明显减少，作风进一步好转。组织健全，工作落实。</w:t>
      </w:r>
    </w:p>
    <w:p>
      <w:pPr>
        <w:ind w:firstLine="321" w:firstLineChars="100"/>
        <w:outlineLvl w:val="0"/>
        <w:rPr>
          <w:rFonts w:ascii="楷体" w:hAnsi="楷体" w:eastAsia="楷体" w:cs="楷体"/>
          <w:b/>
          <w:sz w:val="32"/>
          <w:szCs w:val="32"/>
        </w:rPr>
      </w:pPr>
      <w:r>
        <w:rPr>
          <w:rFonts w:hint="eastAsia" w:ascii="楷体" w:hAnsi="楷体" w:eastAsia="楷体" w:cs="楷体"/>
          <w:b/>
          <w:sz w:val="32"/>
          <w:szCs w:val="32"/>
        </w:rPr>
        <w:t>部门职责及工作活动绩效目标指标：</w:t>
      </w:r>
      <w:bookmarkStart w:id="1" w:name="_Toc505867877"/>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3663"/>
        <w:gridCol w:w="2289"/>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4"/>
                <w:lang w:val="en-US" w:eastAsia="zh-CN"/>
              </w:rPr>
            </w:pPr>
            <w:r>
              <w:rPr>
                <w:rFonts w:ascii="方正小标宋_GBK" w:eastAsia="方正小标宋_GBK"/>
                <w:sz w:val="24"/>
              </w:rPr>
              <w:t>233</w:t>
            </w:r>
            <w:r>
              <w:rPr>
                <w:rFonts w:hint="eastAsia" w:ascii="方正小标宋_GBK" w:eastAsia="方正小标宋_GBK"/>
                <w:sz w:val="24"/>
                <w:lang w:val="en-US" w:eastAsia="zh-CN"/>
              </w:rPr>
              <w:t>中共大厂回族自治县委直属机关工作委员会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66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28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3663" w:type="dxa"/>
            <w:vMerge w:val="continue"/>
            <w:shd w:val="clear" w:color="auto" w:fill="auto"/>
            <w:vAlign w:val="center"/>
          </w:tcPr>
          <w:p>
            <w:pPr>
              <w:spacing w:line="300" w:lineRule="exact"/>
              <w:jc w:val="left"/>
              <w:outlineLvl w:val="0"/>
            </w:pPr>
          </w:p>
        </w:tc>
        <w:tc>
          <w:tcPr>
            <w:tcW w:w="2289"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一、县直机关党的建设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3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加强县直机关党的思想政治建设、组织建设、作风建设、制度建设和反腐倡廉建设，做好县直机关其他党建工作。</w:t>
            </w:r>
          </w:p>
        </w:tc>
        <w:tc>
          <w:tcPr>
            <w:tcW w:w="22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政治觉悟和思想道德素质明显提高；党组织战斗堡垒作用和党员先锋模范作用进一步增强；其他党建工作得到有效落实。</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、思想政治建设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3663"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指导县直机关各级党组织用马克思主义中国化的最新理论成果，教育县直党员干部树立正确的世界观、人生观和价值观；指导县直加强学习型党组织建设和中心组理论学习。负责县直精神文明建设及普法工作。</w:t>
            </w:r>
          </w:p>
        </w:tc>
        <w:tc>
          <w:tcPr>
            <w:tcW w:w="2289"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利用各种有效载体开展宣传教育活动</w:t>
            </w:r>
            <w:r>
              <w:rPr>
                <w:rFonts w:ascii="方正书宋_GBK" w:eastAsia="方正书宋_GBK"/>
              </w:rPr>
              <w:t>,</w:t>
            </w:r>
            <w:r>
              <w:rPr>
                <w:rFonts w:hint="eastAsia" w:ascii="方正书宋_GBK" w:eastAsia="方正书宋_GBK"/>
              </w:rPr>
              <w:t>效果明显</w:t>
            </w:r>
            <w:r>
              <w:rPr>
                <w:rFonts w:ascii="方正书宋_GBK" w:eastAsia="方正书宋_GBK"/>
              </w:rPr>
              <w:t>;</w:t>
            </w:r>
            <w:r>
              <w:rPr>
                <w:rFonts w:hint="eastAsia" w:ascii="方正书宋_GBK" w:eastAsia="方正书宋_GBK"/>
              </w:rPr>
              <w:t>学习制度得到普遍落实，各项活动普遍参加</w:t>
            </w:r>
            <w:r>
              <w:rPr>
                <w:rFonts w:ascii="方正书宋_GBK" w:eastAsia="方正书宋_GBK"/>
              </w:rPr>
              <w:t>;</w:t>
            </w:r>
            <w:r>
              <w:rPr>
                <w:rFonts w:hint="eastAsia" w:ascii="方正书宋_GBK" w:eastAsia="方正书宋_GBK"/>
              </w:rPr>
              <w:t>精神文明创建活动参与广泛，公民道德素质、各项活动满意率明显提高。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党员干部教育覆盖率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3663" w:type="dxa"/>
            <w:vMerge w:val="continue"/>
            <w:shd w:val="clear" w:color="auto" w:fill="auto"/>
            <w:vAlign w:val="center"/>
          </w:tcPr>
          <w:p>
            <w:pPr>
              <w:spacing w:line="300" w:lineRule="exact"/>
              <w:jc w:val="left"/>
              <w:rPr>
                <w:rFonts w:ascii="方正书宋_GBK" w:eastAsia="方正书宋_GBK"/>
              </w:rPr>
            </w:pPr>
          </w:p>
        </w:tc>
        <w:tc>
          <w:tcPr>
            <w:tcW w:w="2289"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思想教育活动完成率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3663" w:type="dxa"/>
            <w:vMerge w:val="continue"/>
            <w:shd w:val="clear" w:color="auto" w:fill="auto"/>
            <w:vAlign w:val="center"/>
          </w:tcPr>
          <w:p>
            <w:pPr>
              <w:spacing w:line="300" w:lineRule="exact"/>
              <w:jc w:val="left"/>
              <w:rPr>
                <w:rFonts w:ascii="方正书宋_GBK" w:eastAsia="方正书宋_GBK"/>
              </w:rPr>
            </w:pPr>
          </w:p>
        </w:tc>
        <w:tc>
          <w:tcPr>
            <w:tcW w:w="2289"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领导干部参与率</w:t>
            </w:r>
            <w:r>
              <w:rPr>
                <w:rFonts w:ascii="方正书宋_GBK" w:eastAsia="方正书宋_GBK"/>
              </w:rPr>
              <w:t xml:space="preserve">    </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3663" w:type="dxa"/>
            <w:vMerge w:val="continue"/>
            <w:shd w:val="clear" w:color="auto" w:fill="auto"/>
            <w:vAlign w:val="center"/>
          </w:tcPr>
          <w:p>
            <w:pPr>
              <w:spacing w:line="300" w:lineRule="exact"/>
              <w:jc w:val="left"/>
              <w:rPr>
                <w:rFonts w:ascii="方正书宋_GBK" w:eastAsia="方正书宋_GBK"/>
              </w:rPr>
            </w:pPr>
          </w:p>
        </w:tc>
        <w:tc>
          <w:tcPr>
            <w:tcW w:w="2289"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干部职工参与率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、组织建设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3663"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县直机关认真落实《党章》，加强基层党组织建设，严格组织生活制度，丰富党建活动内容，做好党员发展、教育、管理、服务和党务干部的教育培训工作，充分发挥党组织的战斗堡垒作用和党员的先锋模范作用。</w:t>
            </w:r>
          </w:p>
        </w:tc>
        <w:tc>
          <w:tcPr>
            <w:tcW w:w="2289"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党组织、党员作用突出。</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基层党组织建设工作完成率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3663" w:type="dxa"/>
            <w:vMerge w:val="continue"/>
            <w:shd w:val="clear" w:color="auto" w:fill="auto"/>
            <w:vAlign w:val="center"/>
          </w:tcPr>
          <w:p>
            <w:pPr>
              <w:spacing w:line="300" w:lineRule="exact"/>
              <w:jc w:val="left"/>
              <w:rPr>
                <w:rFonts w:ascii="方正书宋_GBK" w:eastAsia="方正书宋_GBK"/>
              </w:rPr>
            </w:pPr>
          </w:p>
        </w:tc>
        <w:tc>
          <w:tcPr>
            <w:tcW w:w="2289"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党务干部党务工作考核优秀率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、县直机关党风廉政建设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3663"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开展县直各部门机关党委的纪律检查工作，审议县直普通党员干部违反党纪问题，审批县直普通党员干部违反党纪处理决定</w:t>
            </w:r>
            <w:r>
              <w:rPr>
                <w:rFonts w:ascii="方正书宋_GBK" w:eastAsia="方正书宋_GBK"/>
              </w:rPr>
              <w:t>;</w:t>
            </w:r>
            <w:r>
              <w:rPr>
                <w:rFonts w:hint="eastAsia" w:ascii="方正书宋_GBK" w:eastAsia="方正书宋_GBK"/>
              </w:rPr>
              <w:t>核查县直普通党员干部的违纪问题，负责县直机关行政监察职能绩效目标考核等工作。</w:t>
            </w:r>
          </w:p>
        </w:tc>
        <w:tc>
          <w:tcPr>
            <w:tcW w:w="2289"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违纪案件明显减少，作风进一步好转。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党风廉政建设宣传工作完成率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3663" w:type="dxa"/>
            <w:vMerge w:val="continue"/>
            <w:shd w:val="clear" w:color="auto" w:fill="auto"/>
            <w:vAlign w:val="center"/>
          </w:tcPr>
          <w:p>
            <w:pPr>
              <w:spacing w:line="300" w:lineRule="exact"/>
              <w:jc w:val="left"/>
              <w:rPr>
                <w:rFonts w:ascii="方正书宋_GBK" w:eastAsia="方正书宋_GBK"/>
              </w:rPr>
            </w:pPr>
          </w:p>
        </w:tc>
        <w:tc>
          <w:tcPr>
            <w:tcW w:w="2289"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党员干部违纪核查工作完成率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二、县直机关统战、群团和县直人民武装工作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3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指导县直机关动员组织党外人士、群众团体积极开展活动，做好全民国防教育和人民武装工作，发挥各自职能作用，服务中心工作。</w:t>
            </w:r>
          </w:p>
        </w:tc>
        <w:tc>
          <w:tcPr>
            <w:tcW w:w="22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统战、群团工作得到落实，作用发挥明显，受到公众好评；组织健全，工作落实，县直干部职工国防观念和县直民兵战斗力进一步增强。</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、统战工作</w:t>
            </w:r>
          </w:p>
        </w:tc>
        <w:tc>
          <w:tcPr>
            <w:tcW w:w="1276" w:type="dxa"/>
            <w:shd w:val="clear" w:color="auto" w:fill="auto"/>
            <w:vAlign w:val="center"/>
          </w:tcPr>
          <w:p>
            <w:pPr>
              <w:spacing w:line="300" w:lineRule="exact"/>
              <w:jc w:val="left"/>
              <w:rPr>
                <w:rFonts w:ascii="方正书宋_GBK" w:eastAsia="方正书宋_GBK"/>
              </w:rPr>
            </w:pPr>
          </w:p>
        </w:tc>
        <w:tc>
          <w:tcPr>
            <w:tcW w:w="3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指导县直机关各部门统战工作；组织各界人士积极发挥参政议政、民主监督作用，为县域政治、经济、社会发展献计献策。</w:t>
            </w:r>
          </w:p>
        </w:tc>
        <w:tc>
          <w:tcPr>
            <w:tcW w:w="22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统战工作受到公众好评。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县直机关各部门统战工作的指导任务完成率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、群团工作</w:t>
            </w:r>
          </w:p>
        </w:tc>
        <w:tc>
          <w:tcPr>
            <w:tcW w:w="1276" w:type="dxa"/>
            <w:vMerge w:val="restart"/>
            <w:shd w:val="clear" w:color="auto" w:fill="auto"/>
            <w:vAlign w:val="center"/>
          </w:tcPr>
          <w:p>
            <w:pPr>
              <w:spacing w:line="300" w:lineRule="exact"/>
              <w:jc w:val="left"/>
              <w:rPr>
                <w:rFonts w:ascii="方正书宋_GBK" w:eastAsia="方正书宋_GBK"/>
              </w:rPr>
            </w:pPr>
          </w:p>
        </w:tc>
        <w:tc>
          <w:tcPr>
            <w:tcW w:w="3663"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指导县直机关共青团组织和妇联组织加强队伍建设，积极开展活动，做好换届工作，充分发挥青年和妇女在经济社会发展及机关党建工作中的作用。</w:t>
            </w:r>
          </w:p>
        </w:tc>
        <w:tc>
          <w:tcPr>
            <w:tcW w:w="2289"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开展活动公众满意度高。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县直机关共青团组织和妇联组织队伍建设的指导工作完成率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3663" w:type="dxa"/>
            <w:vMerge w:val="continue"/>
            <w:shd w:val="clear" w:color="auto" w:fill="auto"/>
            <w:vAlign w:val="center"/>
          </w:tcPr>
          <w:p>
            <w:pPr>
              <w:spacing w:line="300" w:lineRule="exact"/>
              <w:jc w:val="left"/>
              <w:rPr>
                <w:rFonts w:ascii="方正书宋_GBK" w:eastAsia="方正书宋_GBK"/>
              </w:rPr>
            </w:pPr>
          </w:p>
        </w:tc>
        <w:tc>
          <w:tcPr>
            <w:tcW w:w="2289"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换届工作完成率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、国防教育和专武干部队伍、民兵组织建设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366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教育引导县直干部职工学习国防知识，增强国防观念，支持国防建设，加强专武干部、国防教育宣传员培训和民兵组织建设，提高工作能力和民兵组织战斗力。</w:t>
            </w:r>
          </w:p>
        </w:tc>
        <w:tc>
          <w:tcPr>
            <w:tcW w:w="22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组织健全，工作落实。</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国防教育计划落实率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bookmarkEnd w:id="0"/>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hint="eastAsia" w:ascii="仿宋_GB2312" w:hAnsi="仿宋_GB2312" w:eastAsia="仿宋_GB2312" w:cs="仿宋_GB2312"/>
          <w:sz w:val="32"/>
          <w:szCs w:val="24"/>
        </w:rPr>
      </w:pPr>
      <w:bookmarkStart w:id="2" w:name="_Toc471398468"/>
      <w:r>
        <w:rPr>
          <w:rFonts w:hint="eastAsia" w:ascii="仿宋_GB2312" w:hAnsi="仿宋_GB2312" w:eastAsia="仿宋_GB2312" w:cs="仿宋_GB2312"/>
          <w:sz w:val="32"/>
          <w:szCs w:val="24"/>
        </w:rPr>
        <w:t>201</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年，我单位无政府采购预算。</w:t>
      </w:r>
    </w:p>
    <w:p>
      <w:pPr>
        <w:ind w:firstLine="640" w:firstLineChars="200"/>
        <w:outlineLvl w:val="0"/>
        <w:rPr>
          <w:rFonts w:hint="eastAsia" w:ascii="仿宋_GB2312" w:hAnsi="仿宋_GB2312" w:eastAsia="仿宋_GB2312" w:cs="仿宋_GB2312"/>
          <w:sz w:val="32"/>
          <w:szCs w:val="24"/>
        </w:rPr>
      </w:pPr>
    </w:p>
    <w:p>
      <w:pPr>
        <w:ind w:firstLine="640" w:firstLineChars="200"/>
        <w:outlineLvl w:val="0"/>
        <w:rPr>
          <w:rFonts w:hint="eastAsia" w:ascii="仿宋_GB2312" w:hAnsi="仿宋_GB2312" w:eastAsia="仿宋_GB2312" w:cs="仿宋_GB2312"/>
          <w:sz w:val="32"/>
          <w:szCs w:val="24"/>
        </w:rPr>
      </w:pPr>
    </w:p>
    <w:p>
      <w:pPr>
        <w:ind w:firstLine="640" w:firstLineChars="200"/>
        <w:outlineLvl w:val="0"/>
        <w:rPr>
          <w:rFonts w:hint="eastAsia" w:ascii="仿宋_GB2312" w:hAnsi="仿宋_GB2312" w:eastAsia="仿宋_GB2312" w:cs="仿宋_GB2312"/>
          <w:sz w:val="32"/>
          <w:szCs w:val="24"/>
        </w:rPr>
      </w:pPr>
    </w:p>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7"/>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廊坊市中共大厂回族自治县委直属机关工作委员会</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ind w:firstLine="640" w:firstLineChars="200"/>
        <w:outlineLvl w:val="0"/>
        <w:rPr>
          <w:rFonts w:hint="eastAsia" w:ascii="仿宋_GB2312" w:hAnsi="仿宋_GB2312" w:eastAsia="仿宋_GB2312" w:cs="仿宋_GB2312"/>
          <w:sz w:val="32"/>
          <w:szCs w:val="24"/>
        </w:rPr>
      </w:pPr>
    </w:p>
    <w:bookmarkEnd w:id="2"/>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hint="eastAsia" w:ascii="仿宋_GB2312" w:hAnsi="黑体" w:eastAsia="仿宋_GB2312" w:cs="Times New Roman"/>
          <w:color w:val="000000" w:themeColor="text1"/>
          <w:sz w:val="32"/>
          <w:szCs w:val="32"/>
          <w:lang w:val="en-US" w:eastAsia="zh-CN"/>
        </w:rPr>
      </w:pPr>
      <w:r>
        <w:rPr>
          <w:rFonts w:hint="eastAsia" w:ascii="仿宋_GB2312" w:hAnsi="黑体" w:eastAsia="仿宋_GB2312" w:cs="Times New Roman"/>
          <w:color w:val="000000" w:themeColor="text1"/>
          <w:sz w:val="32"/>
          <w:szCs w:val="32"/>
          <w:lang w:val="en-US" w:eastAsia="zh-CN"/>
        </w:rPr>
        <w:t>中共大厂回族自治县委直属机关工作委员会上年末固定资产金额为5.029万元，本年度我单位无固定资产采购预算。</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val="en-US" w:eastAsia="zh-CN"/>
              </w:rPr>
              <w:t>中共大厂回族自治县委直属机关工作委员会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5.029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5.029</w:t>
            </w:r>
            <w:bookmarkStart w:id="4" w:name="_GoBack"/>
            <w:bookmarkEnd w:id="4"/>
          </w:p>
        </w:tc>
      </w:tr>
    </w:tbl>
    <w:p>
      <w:pPr>
        <w:ind w:firstLine="640"/>
        <w:rPr>
          <w:rFonts w:hint="eastAsia" w:ascii="仿宋_GB2312" w:hAnsi="黑体" w:eastAsia="仿宋_GB2312" w:cs="Times New Roman"/>
          <w:color w:val="000000" w:themeColor="text1"/>
          <w:sz w:val="32"/>
          <w:szCs w:val="32"/>
          <w:lang w:val="en-US" w:eastAsia="zh-CN"/>
        </w:rPr>
      </w:pPr>
    </w:p>
    <w:p>
      <w:pPr>
        <w:autoSpaceDE w:val="0"/>
        <w:autoSpaceDN w:val="0"/>
        <w:adjustRightInd w:val="0"/>
        <w:ind w:firstLine="640" w:firstLineChars="200"/>
        <w:jc w:val="left"/>
        <w:rPr>
          <w:rFonts w:hint="eastAsia"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pStyle w:val="12"/>
        <w:ind w:firstLine="627" w:firstLineChars="196"/>
        <w:rPr>
          <w:rFonts w:ascii="仿宋_GB2312" w:eastAsia="仿宋_GB2312"/>
          <w:bCs/>
          <w:sz w:val="32"/>
          <w:szCs w:val="32"/>
        </w:rPr>
      </w:pPr>
      <w:r>
        <w:rPr>
          <w:rFonts w:hint="eastAsia" w:ascii="仿宋_GB2312" w:eastAsia="仿宋_GB2312"/>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2"/>
        <w:rPr>
          <w:rFonts w:ascii="仿宋_GB2312" w:hAnsi="FZFangSong-Z02" w:eastAsia="仿宋_GB2312" w:cs="FZFangSong-Z02"/>
          <w:sz w:val="32"/>
          <w:szCs w:val="32"/>
        </w:rPr>
      </w:pPr>
      <w:r>
        <w:rPr>
          <w:rFonts w:hint="eastAsia" w:ascii="仿宋_GB2312" w:eastAsia="仿宋_GB2312"/>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2"/>
        <w:rPr>
          <w:rFonts w:ascii="仿宋_GB2312" w:hAnsi="FZFangSong-Z02" w:eastAsia="仿宋_GB2312" w:cs="FZFangSong-Z02"/>
          <w:sz w:val="32"/>
          <w:szCs w:val="32"/>
        </w:rPr>
      </w:pPr>
      <w:r>
        <w:rPr>
          <w:rFonts w:hint="eastAsia" w:ascii="仿宋_GB2312" w:eastAsia="仿宋_GB2312"/>
          <w:bCs/>
          <w:sz w:val="32"/>
          <w:szCs w:val="32"/>
        </w:rPr>
        <w:t xml:space="preserve">    3</w:t>
      </w:r>
      <w:r>
        <w:rPr>
          <w:rFonts w:hint="eastAsia" w:ascii="仿宋_GB2312" w:hAnsi="FZFangSong-Z02" w:eastAsia="仿宋_GB2312" w:cs="FZFangSong-Z02"/>
          <w:sz w:val="32"/>
          <w:szCs w:val="32"/>
        </w:rPr>
        <w:t>、其他收入：指除</w:t>
      </w:r>
      <w:r>
        <w:rPr>
          <w:rFonts w:hint="eastAsia" w:ascii="仿宋_GB2312" w:eastAsia="仿宋_GB2312"/>
          <w:sz w:val="32"/>
          <w:szCs w:val="32"/>
        </w:rPr>
        <w:t>“</w:t>
      </w:r>
      <w:r>
        <w:rPr>
          <w:rFonts w:hint="eastAsia" w:ascii="仿宋_GB2312" w:eastAsia="仿宋_GB2312"/>
          <w:sz w:val="32"/>
          <w:szCs w:val="32"/>
          <w:lang w:val="en-US" w:eastAsia="zh-CN"/>
        </w:rPr>
        <w:t>一般公共预算</w:t>
      </w:r>
      <w:r>
        <w:rPr>
          <w:rFonts w:hint="eastAsia" w:ascii="仿宋_GB2312" w:hAnsi="FZFangSong-Z02" w:eastAsia="仿宋_GB2312" w:cs="FZFangSong-Z02"/>
          <w:sz w:val="32"/>
          <w:szCs w:val="32"/>
        </w:rPr>
        <w:t>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2"/>
        <w:rPr>
          <w:rFonts w:ascii="仿宋_GB2312" w:hAnsi="FZFangSong-Z02" w:eastAsia="仿宋_GB2312" w:cs="FZFangSong-Z02"/>
          <w:sz w:val="32"/>
          <w:szCs w:val="32"/>
        </w:rPr>
      </w:pPr>
      <w:r>
        <w:rPr>
          <w:rFonts w:hint="eastAsia" w:ascii="仿宋_GB2312" w:eastAsia="仿宋_GB2312"/>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2"/>
        <w:rPr>
          <w:rFonts w:ascii="仿宋_GB2312" w:eastAsia="仿宋_GB2312"/>
          <w:sz w:val="32"/>
          <w:szCs w:val="32"/>
        </w:rPr>
      </w:pPr>
      <w:r>
        <w:rPr>
          <w:rFonts w:hint="eastAsia" w:ascii="仿宋_GB2312" w:eastAsia="仿宋_GB2312"/>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2"/>
        <w:rPr>
          <w:rFonts w:ascii="仿宋_GB2312" w:hAnsi="FZFangSong-Z02" w:eastAsia="仿宋_GB2312" w:cs="FZFangSong-Z02"/>
          <w:sz w:val="32"/>
          <w:szCs w:val="32"/>
        </w:rPr>
      </w:pPr>
      <w:r>
        <w:rPr>
          <w:rFonts w:hint="eastAsia" w:ascii="仿宋_GB2312" w:eastAsia="仿宋_GB2312"/>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Cs/>
          <w:sz w:val="32"/>
          <w:szCs w:val="32"/>
        </w:rPr>
        <w:t>“</w:t>
      </w:r>
      <w:r>
        <w:rPr>
          <w:rFonts w:hint="eastAsia" w:ascii="仿宋_GB2312" w:hAnsi="FZFangSong-Z02" w:eastAsia="仿宋_GB2312" w:cs="FZFangSong-Z02"/>
          <w:sz w:val="32"/>
          <w:szCs w:val="32"/>
        </w:rPr>
        <w:t>三公</w:t>
      </w:r>
      <w:r>
        <w:rPr>
          <w:rFonts w:hint="eastAsia" w:ascii="仿宋_GB2312" w:eastAsia="仿宋_GB2312"/>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w:t>
      </w:r>
      <w:r>
        <w:rPr>
          <w:rFonts w:hint="eastAsia" w:ascii="仿宋_GB2312" w:hAnsi="FZFangSong-Z02" w:eastAsia="仿宋_GB2312" w:cs="FZFangSong-Z02"/>
          <w:sz w:val="32"/>
          <w:szCs w:val="32"/>
          <w:lang w:val="en-US" w:eastAsia="zh-CN"/>
        </w:rPr>
        <w:t>运维</w:t>
      </w:r>
      <w:r>
        <w:rPr>
          <w:rFonts w:hint="eastAsia" w:ascii="仿宋_GB2312" w:hAnsi="FZFangSong-Z02" w:eastAsia="仿宋_GB2312" w:cs="FZFangSong-Z02"/>
          <w:sz w:val="32"/>
          <w:szCs w:val="32"/>
        </w:rPr>
        <w:t>费和公务接待费。其中，因公出国（境）费反映单位公务出国（境）的住宿费、旅费、伙食补助费、杂费、培训费等支出；公务用车购置及</w:t>
      </w:r>
      <w:r>
        <w:rPr>
          <w:rFonts w:hint="eastAsia" w:ascii="仿宋_GB2312" w:hAnsi="FZFangSong-Z02" w:eastAsia="仿宋_GB2312" w:cs="FZFangSong-Z02"/>
          <w:sz w:val="32"/>
          <w:szCs w:val="32"/>
          <w:lang w:val="en-US" w:eastAsia="zh-CN"/>
        </w:rPr>
        <w:t>运维</w:t>
      </w:r>
      <w:r>
        <w:rPr>
          <w:rFonts w:hint="eastAsia" w:ascii="仿宋_GB2312" w:hAnsi="FZFangSong-Z02" w:eastAsia="仿宋_GB2312" w:cs="FZFangSong-Z02"/>
          <w:sz w:val="32"/>
          <w:szCs w:val="32"/>
        </w:rPr>
        <w:t>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FZFangSong-Z02"/>
          <w:sz w:val="32"/>
          <w:szCs w:val="32"/>
        </w:rPr>
      </w:pPr>
      <w:r>
        <w:rPr>
          <w:rFonts w:hint="eastAsia" w:ascii="仿宋_GB2312" w:eastAsia="仿宋_GB2312"/>
          <w:bCs/>
          <w:sz w:val="32"/>
          <w:szCs w:val="32"/>
        </w:rPr>
        <w:t xml:space="preserve">    8</w:t>
      </w:r>
      <w:r>
        <w:rPr>
          <w:rFonts w:hint="eastAsia" w:ascii="仿宋_GB2312" w:hAnsi="FZFangSong-Z02" w:eastAsia="仿宋_GB2312" w:cs="FZFangSong-Z02"/>
          <w:sz w:val="32"/>
          <w:szCs w:val="32"/>
        </w:rPr>
        <w:t>、机关运行费：为保障</w:t>
      </w:r>
      <w:r>
        <w:rPr>
          <w:rFonts w:hint="eastAsia" w:ascii="仿宋_GB2312" w:hAnsi="FZFangSong-Z02" w:eastAsia="仿宋_GB2312" w:cs="FZFangSong-Z02"/>
          <w:sz w:val="32"/>
          <w:szCs w:val="32"/>
          <w:lang w:val="en-US" w:eastAsia="zh-CN"/>
        </w:rPr>
        <w:t>全部单位运行</w:t>
      </w:r>
      <w:r>
        <w:rPr>
          <w:rFonts w:hint="eastAsia" w:ascii="仿宋_GB2312" w:hAnsi="FZFangSong-Z02" w:eastAsia="仿宋_GB2312" w:cs="FZFangSong-Z0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tabs>
          <w:tab w:val="left" w:pos="11490"/>
        </w:tabs>
        <w:ind w:firstLine="643" w:firstLineChars="200"/>
        <w:rPr>
          <w:rFonts w:ascii="黑体" w:hAnsi="黑体" w:eastAsia="黑体" w:cs="黑体"/>
          <w:b/>
          <w:sz w:val="32"/>
          <w:szCs w:val="32"/>
        </w:rPr>
      </w:pPr>
      <w:r>
        <w:rPr>
          <w:rFonts w:hint="eastAsia" w:ascii="黑体" w:hAnsi="黑体" w:eastAsia="黑体" w:cs="黑体"/>
          <w:b/>
          <w:sz w:val="32"/>
          <w:szCs w:val="32"/>
        </w:rPr>
        <w:t>九、其它需要说明的事项</w:t>
      </w:r>
    </w:p>
    <w:p>
      <w:pPr>
        <w:tabs>
          <w:tab w:val="left" w:pos="11490"/>
        </w:tabs>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本单位无其它需要说明的事项</w:t>
      </w:r>
      <w:r>
        <w:rPr>
          <w:rFonts w:hint="eastAsia" w:ascii="仿宋_GB2312" w:hAnsi="仿宋_GB2312" w:eastAsia="仿宋_GB2312" w:cs="仿宋_GB2312"/>
          <w:b/>
          <w:sz w:val="32"/>
          <w:szCs w:val="32"/>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37AF6"/>
    <w:rsid w:val="00045A61"/>
    <w:rsid w:val="000537B8"/>
    <w:rsid w:val="00075D5F"/>
    <w:rsid w:val="000A4B64"/>
    <w:rsid w:val="000B500C"/>
    <w:rsid w:val="000C3A19"/>
    <w:rsid w:val="000D2244"/>
    <w:rsid w:val="000F6762"/>
    <w:rsid w:val="001245BB"/>
    <w:rsid w:val="001616D5"/>
    <w:rsid w:val="001624D2"/>
    <w:rsid w:val="00175B76"/>
    <w:rsid w:val="0018479D"/>
    <w:rsid w:val="001F08A1"/>
    <w:rsid w:val="00241FD4"/>
    <w:rsid w:val="00251B12"/>
    <w:rsid w:val="00255C14"/>
    <w:rsid w:val="002638A7"/>
    <w:rsid w:val="002645FB"/>
    <w:rsid w:val="00296113"/>
    <w:rsid w:val="002A0D27"/>
    <w:rsid w:val="002A769D"/>
    <w:rsid w:val="002F3E58"/>
    <w:rsid w:val="0030542C"/>
    <w:rsid w:val="00311B7A"/>
    <w:rsid w:val="00324FCB"/>
    <w:rsid w:val="0035193D"/>
    <w:rsid w:val="003C37BE"/>
    <w:rsid w:val="003C4DA8"/>
    <w:rsid w:val="003E1A7F"/>
    <w:rsid w:val="003E5C69"/>
    <w:rsid w:val="003F62E0"/>
    <w:rsid w:val="00401354"/>
    <w:rsid w:val="0041203D"/>
    <w:rsid w:val="00451871"/>
    <w:rsid w:val="00472923"/>
    <w:rsid w:val="0047766D"/>
    <w:rsid w:val="004D0802"/>
    <w:rsid w:val="004E3066"/>
    <w:rsid w:val="004E74CD"/>
    <w:rsid w:val="00514E5E"/>
    <w:rsid w:val="0052113E"/>
    <w:rsid w:val="005673D6"/>
    <w:rsid w:val="00573562"/>
    <w:rsid w:val="005A768E"/>
    <w:rsid w:val="005D1B45"/>
    <w:rsid w:val="005E478B"/>
    <w:rsid w:val="00614A29"/>
    <w:rsid w:val="0065298F"/>
    <w:rsid w:val="006578FF"/>
    <w:rsid w:val="0071564C"/>
    <w:rsid w:val="0075393C"/>
    <w:rsid w:val="00776C08"/>
    <w:rsid w:val="007B4EE0"/>
    <w:rsid w:val="007B627B"/>
    <w:rsid w:val="007E1DA8"/>
    <w:rsid w:val="007E3C97"/>
    <w:rsid w:val="007F2561"/>
    <w:rsid w:val="007F6C26"/>
    <w:rsid w:val="0081183D"/>
    <w:rsid w:val="008334AE"/>
    <w:rsid w:val="00836FED"/>
    <w:rsid w:val="00837BCE"/>
    <w:rsid w:val="00845CD2"/>
    <w:rsid w:val="00845CF7"/>
    <w:rsid w:val="008502D8"/>
    <w:rsid w:val="00852B0D"/>
    <w:rsid w:val="00864F5A"/>
    <w:rsid w:val="00881692"/>
    <w:rsid w:val="008B3CC5"/>
    <w:rsid w:val="008C2BAF"/>
    <w:rsid w:val="008E4261"/>
    <w:rsid w:val="008E55D5"/>
    <w:rsid w:val="008F4662"/>
    <w:rsid w:val="0090165D"/>
    <w:rsid w:val="00905D08"/>
    <w:rsid w:val="00925753"/>
    <w:rsid w:val="009323F9"/>
    <w:rsid w:val="009648DB"/>
    <w:rsid w:val="00966C5C"/>
    <w:rsid w:val="00973104"/>
    <w:rsid w:val="009C0B07"/>
    <w:rsid w:val="009D7F3D"/>
    <w:rsid w:val="009E46AD"/>
    <w:rsid w:val="009F78F0"/>
    <w:rsid w:val="00A121F9"/>
    <w:rsid w:val="00A54DE2"/>
    <w:rsid w:val="00A71838"/>
    <w:rsid w:val="00A72D2E"/>
    <w:rsid w:val="00A911E7"/>
    <w:rsid w:val="00A939D9"/>
    <w:rsid w:val="00B00756"/>
    <w:rsid w:val="00B20712"/>
    <w:rsid w:val="00B43238"/>
    <w:rsid w:val="00B4404B"/>
    <w:rsid w:val="00B75216"/>
    <w:rsid w:val="00B83FD6"/>
    <w:rsid w:val="00B91D52"/>
    <w:rsid w:val="00B9352C"/>
    <w:rsid w:val="00BA1ACD"/>
    <w:rsid w:val="00BD6CD3"/>
    <w:rsid w:val="00C1677F"/>
    <w:rsid w:val="00CA7176"/>
    <w:rsid w:val="00CD2773"/>
    <w:rsid w:val="00CE0C24"/>
    <w:rsid w:val="00CE143B"/>
    <w:rsid w:val="00CE3828"/>
    <w:rsid w:val="00CF14F8"/>
    <w:rsid w:val="00CF5D0B"/>
    <w:rsid w:val="00CF5D0C"/>
    <w:rsid w:val="00CF7845"/>
    <w:rsid w:val="00D15A8E"/>
    <w:rsid w:val="00D3778C"/>
    <w:rsid w:val="00D63247"/>
    <w:rsid w:val="00D95DD7"/>
    <w:rsid w:val="00DF6C93"/>
    <w:rsid w:val="00DF7B56"/>
    <w:rsid w:val="00E167C7"/>
    <w:rsid w:val="00E23DA5"/>
    <w:rsid w:val="00E64916"/>
    <w:rsid w:val="00EA3DB7"/>
    <w:rsid w:val="00EC47F6"/>
    <w:rsid w:val="00EE1B43"/>
    <w:rsid w:val="00EF5F6C"/>
    <w:rsid w:val="00F01133"/>
    <w:rsid w:val="00F0325A"/>
    <w:rsid w:val="00F153EF"/>
    <w:rsid w:val="00F154EA"/>
    <w:rsid w:val="00F66032"/>
    <w:rsid w:val="00F73378"/>
    <w:rsid w:val="00F958C2"/>
    <w:rsid w:val="00FD690F"/>
    <w:rsid w:val="016B474E"/>
    <w:rsid w:val="01895521"/>
    <w:rsid w:val="018D5312"/>
    <w:rsid w:val="02AE2840"/>
    <w:rsid w:val="041E57FF"/>
    <w:rsid w:val="05882C38"/>
    <w:rsid w:val="05FE0BF7"/>
    <w:rsid w:val="06ED6469"/>
    <w:rsid w:val="0ADB2539"/>
    <w:rsid w:val="0B0E01A7"/>
    <w:rsid w:val="0B994A10"/>
    <w:rsid w:val="0C105E08"/>
    <w:rsid w:val="0D010DE6"/>
    <w:rsid w:val="0D1917FC"/>
    <w:rsid w:val="0D8D5C2F"/>
    <w:rsid w:val="0DB713AB"/>
    <w:rsid w:val="0DF87C2C"/>
    <w:rsid w:val="0F6D65D3"/>
    <w:rsid w:val="10470257"/>
    <w:rsid w:val="11201E9F"/>
    <w:rsid w:val="11A56E4F"/>
    <w:rsid w:val="12327DF9"/>
    <w:rsid w:val="126A0AF0"/>
    <w:rsid w:val="12AB6622"/>
    <w:rsid w:val="139B284D"/>
    <w:rsid w:val="144C5C00"/>
    <w:rsid w:val="167F5BF2"/>
    <w:rsid w:val="18695B3D"/>
    <w:rsid w:val="18D44310"/>
    <w:rsid w:val="192C567A"/>
    <w:rsid w:val="193B02E2"/>
    <w:rsid w:val="1F9B074E"/>
    <w:rsid w:val="202A645D"/>
    <w:rsid w:val="2037462B"/>
    <w:rsid w:val="212D31EB"/>
    <w:rsid w:val="219853A2"/>
    <w:rsid w:val="219D55AD"/>
    <w:rsid w:val="2370535F"/>
    <w:rsid w:val="247846FF"/>
    <w:rsid w:val="24C73F8E"/>
    <w:rsid w:val="24E3208B"/>
    <w:rsid w:val="26D71E9D"/>
    <w:rsid w:val="276F43A5"/>
    <w:rsid w:val="279F1292"/>
    <w:rsid w:val="285C495E"/>
    <w:rsid w:val="28F153F1"/>
    <w:rsid w:val="2968790D"/>
    <w:rsid w:val="2A7E4B55"/>
    <w:rsid w:val="2BCE4B85"/>
    <w:rsid w:val="2DA33232"/>
    <w:rsid w:val="2E6C4394"/>
    <w:rsid w:val="2EA912F9"/>
    <w:rsid w:val="2F3B1538"/>
    <w:rsid w:val="30251BD4"/>
    <w:rsid w:val="313334DF"/>
    <w:rsid w:val="31A530B7"/>
    <w:rsid w:val="33FA46B2"/>
    <w:rsid w:val="34290D1A"/>
    <w:rsid w:val="35C01AF2"/>
    <w:rsid w:val="361D30D8"/>
    <w:rsid w:val="366D762C"/>
    <w:rsid w:val="37E85761"/>
    <w:rsid w:val="3891481B"/>
    <w:rsid w:val="392641D8"/>
    <w:rsid w:val="3A213A4B"/>
    <w:rsid w:val="3A2A1904"/>
    <w:rsid w:val="3C357FE8"/>
    <w:rsid w:val="3C4832D1"/>
    <w:rsid w:val="3D9070B6"/>
    <w:rsid w:val="3F744E91"/>
    <w:rsid w:val="40064DD3"/>
    <w:rsid w:val="406541E0"/>
    <w:rsid w:val="40A859A9"/>
    <w:rsid w:val="40A93046"/>
    <w:rsid w:val="4431601B"/>
    <w:rsid w:val="44A83A09"/>
    <w:rsid w:val="451D7E9D"/>
    <w:rsid w:val="464671A2"/>
    <w:rsid w:val="466D475D"/>
    <w:rsid w:val="46C91484"/>
    <w:rsid w:val="476245B1"/>
    <w:rsid w:val="49EA3672"/>
    <w:rsid w:val="4A73580E"/>
    <w:rsid w:val="4AB906DE"/>
    <w:rsid w:val="4AD6078F"/>
    <w:rsid w:val="4CC22627"/>
    <w:rsid w:val="4D345FD9"/>
    <w:rsid w:val="4D42128F"/>
    <w:rsid w:val="4D503DB0"/>
    <w:rsid w:val="4E602B3B"/>
    <w:rsid w:val="4F47609E"/>
    <w:rsid w:val="4FAF1AF5"/>
    <w:rsid w:val="4FAF6208"/>
    <w:rsid w:val="52B62EF7"/>
    <w:rsid w:val="532D53EF"/>
    <w:rsid w:val="533B144E"/>
    <w:rsid w:val="53EC6FEE"/>
    <w:rsid w:val="550B0816"/>
    <w:rsid w:val="560B492E"/>
    <w:rsid w:val="56956B04"/>
    <w:rsid w:val="5865034B"/>
    <w:rsid w:val="58E90D78"/>
    <w:rsid w:val="5B132477"/>
    <w:rsid w:val="5DD27DAE"/>
    <w:rsid w:val="5E681826"/>
    <w:rsid w:val="5E8154C9"/>
    <w:rsid w:val="5F152466"/>
    <w:rsid w:val="5F2E6F3E"/>
    <w:rsid w:val="622B749F"/>
    <w:rsid w:val="636941B9"/>
    <w:rsid w:val="63745ED8"/>
    <w:rsid w:val="63F22122"/>
    <w:rsid w:val="640874CE"/>
    <w:rsid w:val="66182F43"/>
    <w:rsid w:val="67187C53"/>
    <w:rsid w:val="67AE7729"/>
    <w:rsid w:val="6A8C0A92"/>
    <w:rsid w:val="6B134C81"/>
    <w:rsid w:val="6BC70062"/>
    <w:rsid w:val="6C033350"/>
    <w:rsid w:val="6C130A45"/>
    <w:rsid w:val="6D532834"/>
    <w:rsid w:val="6FB84413"/>
    <w:rsid w:val="6FBA5ECD"/>
    <w:rsid w:val="70E82C4F"/>
    <w:rsid w:val="710355FB"/>
    <w:rsid w:val="71416B9B"/>
    <w:rsid w:val="71BA4342"/>
    <w:rsid w:val="71D429BE"/>
    <w:rsid w:val="73A007FA"/>
    <w:rsid w:val="74440CFF"/>
    <w:rsid w:val="75C959E5"/>
    <w:rsid w:val="762E5C2D"/>
    <w:rsid w:val="76A47E40"/>
    <w:rsid w:val="7A145692"/>
    <w:rsid w:val="7A3E4529"/>
    <w:rsid w:val="7B273D66"/>
    <w:rsid w:val="7BD063A4"/>
    <w:rsid w:val="7FE140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39"/>
    <w:rPr>
      <w:rFonts w:ascii="Times New Roman" w:hAnsi="Times New Roman" w:eastAsia="宋体" w:cs="Times New Roman"/>
      <w:szCs w:val="24"/>
    </w:rPr>
  </w:style>
  <w:style w:type="paragraph" w:styleId="5">
    <w:name w:val="toc 2"/>
    <w:basedOn w:val="1"/>
    <w:next w:val="1"/>
    <w:qFormat/>
    <w:uiPriority w:val="39"/>
    <w:pPr>
      <w:ind w:left="420" w:leftChars="200"/>
    </w:pPr>
    <w:rPr>
      <w:rFonts w:ascii="Times New Roman" w:hAnsi="Times New Roman" w:eastAsia="宋体" w:cs="Times New Roman"/>
      <w:szCs w:val="24"/>
    </w:rPr>
  </w:style>
  <w:style w:type="paragraph" w:styleId="6">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眉 Char"/>
    <w:basedOn w:val="8"/>
    <w:link w:val="3"/>
    <w:qFormat/>
    <w:uiPriority w:val="99"/>
    <w:rPr>
      <w:rFonts w:ascii="Times New Roman" w:hAnsi="Times New Roman" w:eastAsia="宋体" w:cs="Times New Roman"/>
      <w:sz w:val="18"/>
      <w:szCs w:val="18"/>
    </w:rPr>
  </w:style>
  <w:style w:type="character" w:customStyle="1" w:styleId="11">
    <w:name w:val="页脚 Char"/>
    <w:basedOn w:val="8"/>
    <w:link w:val="2"/>
    <w:qFormat/>
    <w:uiPriority w:val="99"/>
    <w:rPr>
      <w:rFonts w:ascii="Times New Roman" w:hAnsi="Times New Roman" w:eastAsia="宋体" w:cs="Times New Roman"/>
      <w:sz w:val="18"/>
      <w:szCs w:val="18"/>
    </w:rPr>
  </w:style>
  <w:style w:type="paragraph" w:customStyle="1" w:styleId="12">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8191A-EFCC-4ADC-BC01-4D685E85EA99}">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677</Words>
  <Characters>3865</Characters>
  <Lines>32</Lines>
  <Paragraphs>9</Paragraphs>
  <TotalTime>1</TotalTime>
  <ScaleCrop>false</ScaleCrop>
  <LinksUpToDate>false</LinksUpToDate>
  <CharactersWithSpaces>4533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DELL</cp:lastModifiedBy>
  <dcterms:modified xsi:type="dcterms:W3CDTF">2021-05-20T01:48:44Z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